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C3C" w:rsidRPr="00A07844" w:rsidRDefault="00F52C3C" w:rsidP="00F52C3C">
      <w:pPr>
        <w:pStyle w:val="Heading1"/>
        <w:rPr>
          <w:sz w:val="36"/>
        </w:rPr>
      </w:pPr>
      <w:r w:rsidRPr="00A07844">
        <w:rPr>
          <w:sz w:val="36"/>
        </w:rPr>
        <w:t>Auto-apprentissage</w:t>
      </w:r>
      <w:r w:rsidR="006673BF">
        <w:rPr>
          <w:sz w:val="36"/>
        </w:rPr>
        <w:t> : Autobiographie</w:t>
      </w:r>
    </w:p>
    <w:p w:rsidR="006673BF" w:rsidRDefault="00C64A2A" w:rsidP="00F52C3C">
      <w:pPr>
        <w:pStyle w:val="Heading1"/>
      </w:pPr>
      <w:r>
        <w:t>Contexte</w:t>
      </w:r>
    </w:p>
    <w:p w:rsidR="003C780C" w:rsidRDefault="00C64A2A" w:rsidP="003C780C">
      <w:pPr>
        <w:jc w:val="both"/>
      </w:pPr>
      <w:r>
        <w:t xml:space="preserve">Je suis le cadet de ma famille, j’ai appris au côté de mon frère à jouer au football. Depuis tout petit, ce sport m’a fait vivre </w:t>
      </w:r>
      <w:r w:rsidR="003C780C">
        <w:t>et m’a fait connaitre dans tout le quartier. C’est de là, que je tiens mon besoin d’être toujours entouré. Le football m’a fait</w:t>
      </w:r>
      <w:r>
        <w:t xml:space="preserve"> découvrir l’intensité de </w:t>
      </w:r>
      <w:r w:rsidR="003C780C">
        <w:t>mes sentiments. A travers cette passion, j’ai vécu mes premiers moments de joie quand je marquais des buts ou que l’on gagnait un match. J’ai contrairement approché la tristesse quand nous encaissions un but ou quand nous perdions un match. De plus, j’ai éprouvé de la peur la veille d’un match important, j’étais exigent avec moi-même car je ne voulais pas avoir de regret (Nietzche : Le remords ? je n’aime pas cette lâcheté à l’égard de nos actes »).  Enfin, j’ai éprouvé de la colère à cause de l’injustice des arbitres ou encore l’humiliation car nous n’avions pas mouillé le maillot.</w:t>
      </w:r>
    </w:p>
    <w:p w:rsidR="00F52C3C" w:rsidRDefault="001B59A6" w:rsidP="00F52C3C">
      <w:pPr>
        <w:pStyle w:val="Heading1"/>
      </w:pPr>
      <w:r>
        <w:t>Démarche</w:t>
      </w:r>
    </w:p>
    <w:p w:rsidR="001B59A6" w:rsidRDefault="001B59A6" w:rsidP="001B59A6">
      <w:pPr>
        <w:jc w:val="both"/>
      </w:pPr>
      <w:r>
        <w:t xml:space="preserve">Pour me lancer dans ce projet d’auto-apprentissage, j’ai décidé de me baser sur ma passion pour ce sport et réfléchir aux moyens qui pourraient me permettre de reprendre contact avec tout en m’inscrivant dans un projet de développement personnel et d’auto-apprentissage. </w:t>
      </w:r>
    </w:p>
    <w:p w:rsidR="001B59A6" w:rsidRDefault="001B59A6" w:rsidP="001B59A6">
      <w:pPr>
        <w:jc w:val="both"/>
      </w:pPr>
      <w:r>
        <w:t xml:space="preserve">Premièrement, j’ai pensé à l’idée de m’auto-former au métier d’entraineur. J’ai réfléchi aux ressources qui pouvaient me permettre de suivre une démarche d’apprentissage en relation avec ma passion pour ce sport et par conséquent m’appuyer sur ma motivation énorme à apprendre dans ce domaine. </w:t>
      </w:r>
    </w:p>
    <w:p w:rsidR="00745A45" w:rsidRDefault="00062D24" w:rsidP="001B59A6">
      <w:pPr>
        <w:jc w:val="both"/>
      </w:pPr>
      <w:r>
        <w:t>Concernant le développement personnel, les points que j’ai cherché à développer à travers ce projet d’auto-apprentissage sont l’organisation (procrastination) et ma prise de décision.</w:t>
      </w:r>
    </w:p>
    <w:p w:rsidR="004436A0" w:rsidRDefault="00745A45" w:rsidP="001B59A6">
      <w:pPr>
        <w:jc w:val="both"/>
      </w:pPr>
      <w:r>
        <w:t>Niveau organisationnel :</w:t>
      </w:r>
      <w:r w:rsidR="00062D24">
        <w:t xml:space="preserve"> Après avoir fait un premier Gantt qui a évolué au fil des semaines, j’ai compris que cette méthode n’était pas </w:t>
      </w:r>
      <w:proofErr w:type="gramStart"/>
      <w:r w:rsidR="00062D24">
        <w:t>adapté</w:t>
      </w:r>
      <w:proofErr w:type="gramEnd"/>
      <w:r w:rsidR="00062D24">
        <w:t xml:space="preserve"> pour moi. </w:t>
      </w:r>
      <w:r w:rsidR="004436A0">
        <w:t xml:space="preserve">Ensuite, je me suis basé sur vos conseils ainsi que ce que j’ai vu en cours avec Madame </w:t>
      </w:r>
      <w:proofErr w:type="spellStart"/>
      <w:r w:rsidR="004436A0">
        <w:t>Lacotte</w:t>
      </w:r>
      <w:proofErr w:type="spellEnd"/>
      <w:r w:rsidR="004436A0">
        <w:t xml:space="preserve"> pour me trouver mes moyens de gestion des priorités</w:t>
      </w:r>
      <w:r>
        <w:t xml:space="preserve">. </w:t>
      </w:r>
      <w:r w:rsidR="008A5612">
        <w:t xml:space="preserve">Pour ce faire je suis en train de lire : »Et si je prenais mon temps ! » De Catherine Berliet. </w:t>
      </w:r>
    </w:p>
    <w:p w:rsidR="00745A45" w:rsidRPr="00C64A2A" w:rsidRDefault="00EC0A74" w:rsidP="001B59A6">
      <w:pPr>
        <w:jc w:val="both"/>
      </w:pPr>
      <w:r>
        <w:t>Niveau décisionnel :</w:t>
      </w:r>
      <w:r w:rsidR="00745A45">
        <w:t xml:space="preserve"> j’ai</w:t>
      </w:r>
      <w:r>
        <w:t xml:space="preserve"> défini grâce au cours de </w:t>
      </w:r>
      <w:proofErr w:type="spellStart"/>
      <w:r>
        <w:t>M.Lacotte</w:t>
      </w:r>
      <w:proofErr w:type="spellEnd"/>
      <w:r>
        <w:t xml:space="preserve"> mon profil de décideur frileux. Je détaille dans la partie résultats les raisons de ce profil et les moyens que j’ai à ma disposition pour m’aider à mieux décider. En parallèle, j’ai lu le livre « Savoir décider » </w:t>
      </w:r>
      <w:proofErr w:type="gramStart"/>
      <w:r>
        <w:t>de .</w:t>
      </w:r>
      <w:proofErr w:type="gramEnd"/>
      <w:r>
        <w:t xml:space="preserve"> Ce livre m’a aidé à comprendre aussi mon processus de décision, l’intérêt de l’hésitation, l’évaluation des risques/conséquences et la satisfaction obtenue après une décision.</w:t>
      </w:r>
    </w:p>
    <w:p w:rsidR="004436A0" w:rsidRDefault="004436A0" w:rsidP="004436A0">
      <w:pPr>
        <w:pStyle w:val="Heading1"/>
      </w:pPr>
      <w:r>
        <w:t>Résultats</w:t>
      </w:r>
    </w:p>
    <w:p w:rsidR="00745A45" w:rsidRDefault="004436A0" w:rsidP="004436A0">
      <w:r>
        <w:t>Mon profil MBTI est EST</w:t>
      </w:r>
      <w:r>
        <w:rPr>
          <w:b/>
        </w:rPr>
        <w:t>P</w:t>
      </w:r>
      <w:r>
        <w:t xml:space="preserve">, j’ai souvent tendance à remettre au lendemain. J’ai cette préférence d’attendre la dernière minute pour me donner un coup de pression afin de réaliser mes travaux. </w:t>
      </w:r>
      <w:r w:rsidR="00745A45">
        <w:t xml:space="preserve">Après m’avoir conseillé de tester « To Do List » et la méthode de priorisation vue avec </w:t>
      </w:r>
      <w:proofErr w:type="spellStart"/>
      <w:r w:rsidR="00745A45">
        <w:t>M.Lacotte</w:t>
      </w:r>
      <w:proofErr w:type="spellEnd"/>
      <w:r w:rsidR="00745A45">
        <w:t xml:space="preserve">, voici à quoi ressemble l’outil qui m’aide à m’organiser </w:t>
      </w:r>
      <w:r w:rsidR="003E45CF">
        <w:t>dans la vie de tous les jours.</w:t>
      </w:r>
    </w:p>
    <w:p w:rsidR="003E45CF" w:rsidRPr="004436A0" w:rsidRDefault="003E45CF" w:rsidP="004436A0">
      <w:r>
        <w:rPr>
          <w:noProof/>
        </w:rPr>
        <w:lastRenderedPageBreak/>
        <w:drawing>
          <wp:inline distT="0" distB="0" distL="0" distR="0">
            <wp:extent cx="5715000" cy="365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657600"/>
                    </a:xfrm>
                    <a:prstGeom prst="rect">
                      <a:avLst/>
                    </a:prstGeom>
                    <a:noFill/>
                    <a:ln>
                      <a:noFill/>
                    </a:ln>
                  </pic:spPr>
                </pic:pic>
              </a:graphicData>
            </a:graphic>
          </wp:inline>
        </w:drawing>
      </w:r>
    </w:p>
    <w:p w:rsidR="00874B85" w:rsidRDefault="003E45CF" w:rsidP="00874B85">
      <w:pPr>
        <w:pStyle w:val="Heading1"/>
      </w:pPr>
      <w:r>
        <w:t>Activité</w:t>
      </w:r>
    </w:p>
    <w:p w:rsidR="001E0004" w:rsidRDefault="00197008">
      <w:r>
        <w:t>A propos de ma faiblesse au niveau de la compréhension écrite, j’ai décidé de lire « </w:t>
      </w:r>
      <w:proofErr w:type="spellStart"/>
      <w:r>
        <w:t>Managing</w:t>
      </w:r>
      <w:proofErr w:type="spellEnd"/>
      <w:r>
        <w:t xml:space="preserve"> </w:t>
      </w:r>
      <w:proofErr w:type="spellStart"/>
      <w:r>
        <w:t>my</w:t>
      </w:r>
      <w:proofErr w:type="spellEnd"/>
      <w:r>
        <w:t xml:space="preserve"> life » d’Ale</w:t>
      </w:r>
      <w:r w:rsidR="003E45CF">
        <w:t>x Ferguson</w:t>
      </w:r>
      <w:r w:rsidR="00501E15">
        <w:t xml:space="preserve">. J’ai établi en amont des critères qui me permettent de définir mes préférences de lecture par rapport à la durée de l’activité, ma motivation, ma satisfaction. Ceci m’a permis de me focaliser sur la lecture qui est mon point faible du TOEIC. </w:t>
      </w:r>
    </w:p>
    <w:tbl>
      <w:tblPr>
        <w:tblStyle w:val="TableGrid"/>
        <w:tblW w:w="0" w:type="auto"/>
        <w:tblLook w:val="04A0" w:firstRow="1" w:lastRow="0" w:firstColumn="1" w:lastColumn="0" w:noHBand="0" w:noVBand="1"/>
      </w:tblPr>
      <w:tblGrid>
        <w:gridCol w:w="3298"/>
        <w:gridCol w:w="2995"/>
        <w:gridCol w:w="2995"/>
      </w:tblGrid>
      <w:tr w:rsidR="001E0004" w:rsidTr="001E0004">
        <w:tc>
          <w:tcPr>
            <w:tcW w:w="3298" w:type="dxa"/>
          </w:tcPr>
          <w:p w:rsidR="001E0004" w:rsidRPr="001E3370" w:rsidRDefault="001E0004" w:rsidP="001E0004">
            <w:pPr>
              <w:rPr>
                <w:sz w:val="24"/>
              </w:rPr>
            </w:pPr>
            <w:r w:rsidRPr="001E3370">
              <w:rPr>
                <w:sz w:val="24"/>
              </w:rPr>
              <w:t xml:space="preserve">Type d’activité </w:t>
            </w:r>
          </w:p>
        </w:tc>
        <w:tc>
          <w:tcPr>
            <w:tcW w:w="2995" w:type="dxa"/>
          </w:tcPr>
          <w:p w:rsidR="001E0004" w:rsidRPr="001E0004" w:rsidRDefault="001E0004" w:rsidP="001E0004">
            <w:pPr>
              <w:rPr>
                <w:b/>
              </w:rPr>
            </w:pPr>
            <w:proofErr w:type="spellStart"/>
            <w:r w:rsidRPr="001E0004">
              <w:rPr>
                <w:b/>
              </w:rPr>
              <w:t>Listening</w:t>
            </w:r>
            <w:proofErr w:type="spellEnd"/>
            <w:r w:rsidRPr="001E0004">
              <w:rPr>
                <w:b/>
              </w:rPr>
              <w:t xml:space="preserve"> </w:t>
            </w:r>
          </w:p>
        </w:tc>
        <w:tc>
          <w:tcPr>
            <w:tcW w:w="2995" w:type="dxa"/>
          </w:tcPr>
          <w:p w:rsidR="001E0004" w:rsidRPr="001E0004" w:rsidRDefault="001E0004" w:rsidP="001E0004">
            <w:pPr>
              <w:rPr>
                <w:b/>
              </w:rPr>
            </w:pPr>
            <w:r w:rsidRPr="001E0004">
              <w:rPr>
                <w:b/>
              </w:rPr>
              <w:t xml:space="preserve">Reading </w:t>
            </w:r>
          </w:p>
        </w:tc>
      </w:tr>
      <w:tr w:rsidR="001E0004" w:rsidTr="001E0004">
        <w:tc>
          <w:tcPr>
            <w:tcW w:w="3298" w:type="dxa"/>
          </w:tcPr>
          <w:p w:rsidR="001E0004" w:rsidRDefault="001E0004" w:rsidP="001E0004"/>
        </w:tc>
        <w:tc>
          <w:tcPr>
            <w:tcW w:w="2995" w:type="dxa"/>
          </w:tcPr>
          <w:p w:rsidR="001E0004" w:rsidRDefault="001E0004" w:rsidP="001E0004">
            <w:pPr>
              <w:jc w:val="right"/>
            </w:pPr>
            <w:r>
              <w:t>Vidéo</w:t>
            </w:r>
          </w:p>
        </w:tc>
        <w:tc>
          <w:tcPr>
            <w:tcW w:w="2995" w:type="dxa"/>
          </w:tcPr>
          <w:p w:rsidR="001E0004" w:rsidRDefault="001E0004" w:rsidP="001E0004">
            <w:pPr>
              <w:jc w:val="right"/>
            </w:pPr>
            <w:r>
              <w:t>Journal</w:t>
            </w:r>
          </w:p>
        </w:tc>
      </w:tr>
      <w:tr w:rsidR="001E0004" w:rsidTr="001E0004">
        <w:tc>
          <w:tcPr>
            <w:tcW w:w="3298" w:type="dxa"/>
          </w:tcPr>
          <w:p w:rsidR="001E0004" w:rsidRDefault="001E0004" w:rsidP="001E0004"/>
        </w:tc>
        <w:tc>
          <w:tcPr>
            <w:tcW w:w="2995" w:type="dxa"/>
          </w:tcPr>
          <w:p w:rsidR="001E0004" w:rsidRDefault="001E0004" w:rsidP="001E0004">
            <w:pPr>
              <w:jc w:val="right"/>
            </w:pPr>
            <w:r>
              <w:t>Radio</w:t>
            </w:r>
          </w:p>
        </w:tc>
        <w:tc>
          <w:tcPr>
            <w:tcW w:w="2995" w:type="dxa"/>
          </w:tcPr>
          <w:p w:rsidR="001E0004" w:rsidRDefault="001E0004" w:rsidP="001E0004">
            <w:pPr>
              <w:jc w:val="right"/>
            </w:pPr>
            <w:r>
              <w:t xml:space="preserve">Magasine </w:t>
            </w:r>
          </w:p>
        </w:tc>
      </w:tr>
      <w:tr w:rsidR="001E0004" w:rsidTr="001E0004">
        <w:tc>
          <w:tcPr>
            <w:tcW w:w="3298" w:type="dxa"/>
          </w:tcPr>
          <w:p w:rsidR="001E0004" w:rsidRDefault="001E0004" w:rsidP="001E0004"/>
        </w:tc>
        <w:tc>
          <w:tcPr>
            <w:tcW w:w="2995" w:type="dxa"/>
          </w:tcPr>
          <w:p w:rsidR="001E0004" w:rsidRDefault="001E0004" w:rsidP="001E0004">
            <w:pPr>
              <w:jc w:val="right"/>
            </w:pPr>
            <w:r>
              <w:t>JT</w:t>
            </w:r>
          </w:p>
        </w:tc>
        <w:tc>
          <w:tcPr>
            <w:tcW w:w="2995" w:type="dxa"/>
          </w:tcPr>
          <w:p w:rsidR="001E0004" w:rsidRDefault="001E3370" w:rsidP="001E0004">
            <w:pPr>
              <w:jc w:val="right"/>
            </w:pPr>
            <w:r>
              <w:t xml:space="preserve">Pub / Affiche </w:t>
            </w:r>
          </w:p>
        </w:tc>
      </w:tr>
      <w:tr w:rsidR="001E0004" w:rsidTr="001E0004">
        <w:tc>
          <w:tcPr>
            <w:tcW w:w="3298" w:type="dxa"/>
          </w:tcPr>
          <w:p w:rsidR="001E0004" w:rsidRDefault="001E0004" w:rsidP="001E0004"/>
        </w:tc>
        <w:tc>
          <w:tcPr>
            <w:tcW w:w="2995" w:type="dxa"/>
          </w:tcPr>
          <w:p w:rsidR="001E0004" w:rsidRDefault="001E3370" w:rsidP="001E0004">
            <w:pPr>
              <w:jc w:val="right"/>
            </w:pPr>
            <w:r>
              <w:t xml:space="preserve">Autre </w:t>
            </w:r>
          </w:p>
        </w:tc>
        <w:tc>
          <w:tcPr>
            <w:tcW w:w="2995" w:type="dxa"/>
          </w:tcPr>
          <w:p w:rsidR="001E0004" w:rsidRDefault="00555A2E" w:rsidP="001E0004">
            <w:pPr>
              <w:jc w:val="right"/>
            </w:pPr>
            <w:r>
              <w:t>Livre, articles</w:t>
            </w:r>
          </w:p>
        </w:tc>
      </w:tr>
      <w:tr w:rsidR="007C4386" w:rsidTr="008C035E">
        <w:tc>
          <w:tcPr>
            <w:tcW w:w="3298" w:type="dxa"/>
          </w:tcPr>
          <w:p w:rsidR="007C4386" w:rsidRPr="001E3370" w:rsidRDefault="007C4386" w:rsidP="001E0004">
            <w:pPr>
              <w:rPr>
                <w:sz w:val="24"/>
              </w:rPr>
            </w:pPr>
            <w:r>
              <w:rPr>
                <w:sz w:val="24"/>
              </w:rPr>
              <w:t>Motivation</w:t>
            </w:r>
          </w:p>
        </w:tc>
        <w:tc>
          <w:tcPr>
            <w:tcW w:w="5990" w:type="dxa"/>
            <w:gridSpan w:val="2"/>
          </w:tcPr>
          <w:p w:rsidR="007C4386" w:rsidRDefault="007C4386" w:rsidP="001E3370">
            <w:pPr>
              <w:jc w:val="center"/>
            </w:pPr>
            <w:r>
              <w:t>Grosse envie</w:t>
            </w:r>
          </w:p>
        </w:tc>
      </w:tr>
      <w:tr w:rsidR="0095068E" w:rsidTr="008C035E">
        <w:tc>
          <w:tcPr>
            <w:tcW w:w="3298" w:type="dxa"/>
          </w:tcPr>
          <w:p w:rsidR="0095068E" w:rsidRDefault="0095068E" w:rsidP="001E0004">
            <w:pPr>
              <w:rPr>
                <w:sz w:val="24"/>
              </w:rPr>
            </w:pPr>
          </w:p>
        </w:tc>
        <w:tc>
          <w:tcPr>
            <w:tcW w:w="5990" w:type="dxa"/>
            <w:gridSpan w:val="2"/>
          </w:tcPr>
          <w:p w:rsidR="0095068E" w:rsidRDefault="0095068E" w:rsidP="001E3370">
            <w:pPr>
              <w:jc w:val="center"/>
            </w:pPr>
            <w:r>
              <w:t>Routine</w:t>
            </w:r>
          </w:p>
        </w:tc>
      </w:tr>
      <w:tr w:rsidR="0095068E" w:rsidTr="008C035E">
        <w:tc>
          <w:tcPr>
            <w:tcW w:w="3298" w:type="dxa"/>
          </w:tcPr>
          <w:p w:rsidR="0095068E" w:rsidRDefault="0095068E" w:rsidP="001E0004">
            <w:pPr>
              <w:rPr>
                <w:sz w:val="24"/>
              </w:rPr>
            </w:pPr>
          </w:p>
        </w:tc>
        <w:tc>
          <w:tcPr>
            <w:tcW w:w="5990" w:type="dxa"/>
            <w:gridSpan w:val="2"/>
          </w:tcPr>
          <w:p w:rsidR="0095068E" w:rsidRDefault="0095068E" w:rsidP="001E3370">
            <w:pPr>
              <w:jc w:val="center"/>
            </w:pPr>
            <w:r>
              <w:t>Obligation</w:t>
            </w:r>
          </w:p>
        </w:tc>
      </w:tr>
      <w:tr w:rsidR="001E3370" w:rsidTr="008C035E">
        <w:tc>
          <w:tcPr>
            <w:tcW w:w="3298" w:type="dxa"/>
          </w:tcPr>
          <w:p w:rsidR="001E3370" w:rsidRPr="001E3370" w:rsidRDefault="001E3370" w:rsidP="001E0004">
            <w:pPr>
              <w:rPr>
                <w:sz w:val="24"/>
              </w:rPr>
            </w:pPr>
            <w:r w:rsidRPr="001E3370">
              <w:rPr>
                <w:sz w:val="24"/>
              </w:rPr>
              <w:t xml:space="preserve">Durée de l’activité </w:t>
            </w:r>
          </w:p>
        </w:tc>
        <w:tc>
          <w:tcPr>
            <w:tcW w:w="5990" w:type="dxa"/>
            <w:gridSpan w:val="2"/>
          </w:tcPr>
          <w:p w:rsidR="001E3370" w:rsidRDefault="001E3370" w:rsidP="001E3370">
            <w:pPr>
              <w:jc w:val="center"/>
            </w:pPr>
            <w:r>
              <w:t>[10min -30min]</w:t>
            </w:r>
          </w:p>
        </w:tc>
      </w:tr>
      <w:tr w:rsidR="001E3370" w:rsidTr="000B381B">
        <w:tc>
          <w:tcPr>
            <w:tcW w:w="3298" w:type="dxa"/>
          </w:tcPr>
          <w:p w:rsidR="001E3370" w:rsidRDefault="001E3370" w:rsidP="001E0004"/>
        </w:tc>
        <w:tc>
          <w:tcPr>
            <w:tcW w:w="5990" w:type="dxa"/>
            <w:gridSpan w:val="2"/>
          </w:tcPr>
          <w:p w:rsidR="001E3370" w:rsidRDefault="001E3370" w:rsidP="00FD3CDD">
            <w:pPr>
              <w:jc w:val="center"/>
            </w:pPr>
            <w:r>
              <w:t>[30min -60min]</w:t>
            </w:r>
          </w:p>
        </w:tc>
      </w:tr>
      <w:tr w:rsidR="001E3370" w:rsidTr="00FE08B4">
        <w:tc>
          <w:tcPr>
            <w:tcW w:w="3298" w:type="dxa"/>
          </w:tcPr>
          <w:p w:rsidR="001E3370" w:rsidRDefault="001E3370" w:rsidP="001E0004"/>
        </w:tc>
        <w:tc>
          <w:tcPr>
            <w:tcW w:w="5990" w:type="dxa"/>
            <w:gridSpan w:val="2"/>
          </w:tcPr>
          <w:p w:rsidR="001E3370" w:rsidRDefault="001E3370" w:rsidP="001E3370">
            <w:pPr>
              <w:jc w:val="center"/>
            </w:pPr>
            <w:r>
              <w:t>[60min -]</w:t>
            </w:r>
          </w:p>
        </w:tc>
      </w:tr>
      <w:tr w:rsidR="001E3370" w:rsidTr="0068387A">
        <w:tc>
          <w:tcPr>
            <w:tcW w:w="3298" w:type="dxa"/>
          </w:tcPr>
          <w:p w:rsidR="001E3370" w:rsidRDefault="001E3370" w:rsidP="001E0004">
            <w:r w:rsidRPr="001E3370">
              <w:rPr>
                <w:sz w:val="24"/>
              </w:rPr>
              <w:t xml:space="preserve">Satisfaction </w:t>
            </w:r>
          </w:p>
        </w:tc>
        <w:tc>
          <w:tcPr>
            <w:tcW w:w="5990" w:type="dxa"/>
            <w:gridSpan w:val="2"/>
          </w:tcPr>
          <w:p w:rsidR="001E3370" w:rsidRDefault="001E3370" w:rsidP="00FD3CDD">
            <w:pPr>
              <w:jc w:val="center"/>
            </w:pPr>
            <w:r>
              <w:t xml:space="preserve">Grande </w:t>
            </w:r>
          </w:p>
        </w:tc>
      </w:tr>
      <w:tr w:rsidR="001E3370" w:rsidTr="00341676">
        <w:tc>
          <w:tcPr>
            <w:tcW w:w="3298" w:type="dxa"/>
          </w:tcPr>
          <w:p w:rsidR="001E3370" w:rsidRDefault="001E3370" w:rsidP="001E0004"/>
        </w:tc>
        <w:tc>
          <w:tcPr>
            <w:tcW w:w="5990" w:type="dxa"/>
            <w:gridSpan w:val="2"/>
          </w:tcPr>
          <w:p w:rsidR="001E3370" w:rsidRDefault="001E3370" w:rsidP="00FD3CDD">
            <w:pPr>
              <w:jc w:val="center"/>
            </w:pPr>
            <w:r>
              <w:t xml:space="preserve">Moyenne </w:t>
            </w:r>
          </w:p>
        </w:tc>
      </w:tr>
      <w:tr w:rsidR="001E3370" w:rsidTr="00A17C5D">
        <w:tc>
          <w:tcPr>
            <w:tcW w:w="3298" w:type="dxa"/>
          </w:tcPr>
          <w:p w:rsidR="001E3370" w:rsidRDefault="001E3370" w:rsidP="001E0004"/>
        </w:tc>
        <w:tc>
          <w:tcPr>
            <w:tcW w:w="5990" w:type="dxa"/>
            <w:gridSpan w:val="2"/>
          </w:tcPr>
          <w:p w:rsidR="001E3370" w:rsidRDefault="001E3370" w:rsidP="00FD3CDD">
            <w:pPr>
              <w:jc w:val="center"/>
            </w:pPr>
            <w:r>
              <w:t xml:space="preserve">Faible </w:t>
            </w:r>
          </w:p>
        </w:tc>
      </w:tr>
      <w:tr w:rsidR="009B61D3" w:rsidTr="00700894">
        <w:tc>
          <w:tcPr>
            <w:tcW w:w="3298" w:type="dxa"/>
          </w:tcPr>
          <w:p w:rsidR="009B61D3" w:rsidRDefault="009B61D3" w:rsidP="001E0004">
            <w:r w:rsidRPr="009B61D3">
              <w:rPr>
                <w:sz w:val="24"/>
              </w:rPr>
              <w:t xml:space="preserve">Objectif </w:t>
            </w:r>
          </w:p>
        </w:tc>
        <w:tc>
          <w:tcPr>
            <w:tcW w:w="5990" w:type="dxa"/>
            <w:gridSpan w:val="2"/>
          </w:tcPr>
          <w:p w:rsidR="009B61D3" w:rsidRDefault="009B61D3" w:rsidP="00FD3CDD">
            <w:pPr>
              <w:jc w:val="center"/>
            </w:pPr>
            <w:r>
              <w:t xml:space="preserve">Vocabulaire </w:t>
            </w:r>
          </w:p>
        </w:tc>
      </w:tr>
      <w:tr w:rsidR="009B61D3" w:rsidTr="00CE5B4C">
        <w:tc>
          <w:tcPr>
            <w:tcW w:w="3298" w:type="dxa"/>
          </w:tcPr>
          <w:p w:rsidR="009B61D3" w:rsidRDefault="009B61D3" w:rsidP="001E0004"/>
        </w:tc>
        <w:tc>
          <w:tcPr>
            <w:tcW w:w="5990" w:type="dxa"/>
            <w:gridSpan w:val="2"/>
          </w:tcPr>
          <w:p w:rsidR="009B61D3" w:rsidRDefault="0095068E" w:rsidP="00FD3CDD">
            <w:pPr>
              <w:jc w:val="center"/>
            </w:pPr>
            <w:r>
              <w:t>Compréhension orale</w:t>
            </w:r>
          </w:p>
        </w:tc>
      </w:tr>
      <w:tr w:rsidR="0095068E" w:rsidTr="00CE5B4C">
        <w:tc>
          <w:tcPr>
            <w:tcW w:w="3298" w:type="dxa"/>
          </w:tcPr>
          <w:p w:rsidR="0095068E" w:rsidRDefault="0095068E" w:rsidP="001E0004"/>
        </w:tc>
        <w:tc>
          <w:tcPr>
            <w:tcW w:w="5990" w:type="dxa"/>
            <w:gridSpan w:val="2"/>
          </w:tcPr>
          <w:p w:rsidR="0095068E" w:rsidRDefault="0095068E" w:rsidP="00FD3CDD">
            <w:pPr>
              <w:jc w:val="center"/>
            </w:pPr>
            <w:proofErr w:type="spellStart"/>
            <w:r>
              <w:t>Toeic</w:t>
            </w:r>
            <w:proofErr w:type="spellEnd"/>
          </w:p>
        </w:tc>
      </w:tr>
      <w:tr w:rsidR="009B61D3" w:rsidTr="009D1B8C">
        <w:tc>
          <w:tcPr>
            <w:tcW w:w="3298" w:type="dxa"/>
          </w:tcPr>
          <w:p w:rsidR="00D27E01" w:rsidRDefault="00DE23CA" w:rsidP="001E0004">
            <w:r>
              <w:t>Public visé</w:t>
            </w:r>
          </w:p>
        </w:tc>
        <w:tc>
          <w:tcPr>
            <w:tcW w:w="5990" w:type="dxa"/>
            <w:gridSpan w:val="2"/>
          </w:tcPr>
          <w:p w:rsidR="00DE23CA" w:rsidRDefault="00DE23CA" w:rsidP="00DE23CA">
            <w:pPr>
              <w:jc w:val="center"/>
            </w:pPr>
            <w:r>
              <w:t>Grand public</w:t>
            </w:r>
          </w:p>
        </w:tc>
      </w:tr>
      <w:tr w:rsidR="00DE23CA" w:rsidTr="009D1B8C">
        <w:tc>
          <w:tcPr>
            <w:tcW w:w="3298" w:type="dxa"/>
          </w:tcPr>
          <w:p w:rsidR="00DE23CA" w:rsidRDefault="00DE23CA" w:rsidP="001E0004"/>
        </w:tc>
        <w:tc>
          <w:tcPr>
            <w:tcW w:w="5990" w:type="dxa"/>
            <w:gridSpan w:val="2"/>
          </w:tcPr>
          <w:p w:rsidR="00DE23CA" w:rsidRDefault="00DE23CA" w:rsidP="00DE23CA">
            <w:pPr>
              <w:jc w:val="center"/>
            </w:pPr>
            <w:r>
              <w:t>Professionnel/Experts</w:t>
            </w:r>
          </w:p>
        </w:tc>
      </w:tr>
      <w:tr w:rsidR="00DE23CA" w:rsidTr="009D1B8C">
        <w:tc>
          <w:tcPr>
            <w:tcW w:w="3298" w:type="dxa"/>
          </w:tcPr>
          <w:p w:rsidR="00DE23CA" w:rsidRDefault="00DE23CA" w:rsidP="001E0004"/>
        </w:tc>
        <w:tc>
          <w:tcPr>
            <w:tcW w:w="5990" w:type="dxa"/>
            <w:gridSpan w:val="2"/>
          </w:tcPr>
          <w:p w:rsidR="00DE23CA" w:rsidRDefault="00DE23CA" w:rsidP="00DE23CA">
            <w:pPr>
              <w:jc w:val="center"/>
            </w:pPr>
            <w:r>
              <w:t>Scolaire</w:t>
            </w:r>
          </w:p>
        </w:tc>
      </w:tr>
    </w:tbl>
    <w:p w:rsidR="001E0004" w:rsidRDefault="001E0004" w:rsidP="001E0004"/>
    <w:p w:rsidR="00874B85" w:rsidRDefault="001E3370">
      <w:r>
        <w:t xml:space="preserve">A trouver au fur et à mesure des activités : </w:t>
      </w:r>
    </w:p>
    <w:p w:rsidR="009B61D3" w:rsidRDefault="001E3370" w:rsidP="009B61D3">
      <w:pPr>
        <w:pStyle w:val="ListParagraph"/>
        <w:numPr>
          <w:ilvl w:val="0"/>
          <w:numId w:val="1"/>
        </w:numPr>
      </w:pPr>
      <w:r>
        <w:t xml:space="preserve">D’autres </w:t>
      </w:r>
      <w:r w:rsidR="009B61D3">
        <w:t xml:space="preserve">critères </w:t>
      </w:r>
    </w:p>
    <w:p w:rsidR="009B61D3" w:rsidRDefault="009B61D3" w:rsidP="00501E15">
      <w:pPr>
        <w:pStyle w:val="ListParagraph"/>
        <w:numPr>
          <w:ilvl w:val="0"/>
          <w:numId w:val="1"/>
        </w:numPr>
      </w:pPr>
      <w:r>
        <w:t>Des corrélations entre les différents critères (</w:t>
      </w:r>
      <w:r w:rsidR="0095068E">
        <w:t>Faire une activité pendant longtemps peut être expliqué par la motivation que j’ai eu à la faire)</w:t>
      </w:r>
    </w:p>
    <w:p w:rsidR="009B61D3" w:rsidRDefault="009B61D3" w:rsidP="009B61D3">
      <w:pPr>
        <w:pStyle w:val="Heading2"/>
      </w:pPr>
      <w:r>
        <w:t>Ressenti</w:t>
      </w:r>
    </w:p>
    <w:p w:rsidR="00501E15" w:rsidRDefault="00501E15" w:rsidP="00501E15">
      <w:r>
        <w:t xml:space="preserve">Grâce à ce travail </w:t>
      </w:r>
      <w:r>
        <w:t>que j’ai réalisé sur moi, j’arrive à mieux m’organiser et à soulager mon cerveau de la réflexion continuelle sur « Qu’</w:t>
      </w:r>
      <w:proofErr w:type="spellStart"/>
      <w:r>
        <w:t>est ce</w:t>
      </w:r>
      <w:proofErr w:type="spellEnd"/>
      <w:r>
        <w:t xml:space="preserve"> que j’ai à faire ». Je n’ai qu’à voir ma liste et le poids que j’ai affecté à chaque tâche pour savoir dans quel ordre je vais les effectuer. Ensuite « </w:t>
      </w:r>
      <w:proofErr w:type="spellStart"/>
      <w:r>
        <w:t>Managing</w:t>
      </w:r>
      <w:proofErr w:type="spellEnd"/>
      <w:r>
        <w:t xml:space="preserve"> </w:t>
      </w:r>
      <w:proofErr w:type="spellStart"/>
      <w:r>
        <w:t>my</w:t>
      </w:r>
      <w:proofErr w:type="spellEnd"/>
      <w:r>
        <w:t xml:space="preserve"> life » est un livre qui me passionne par le sujet qu’il traite, le parcours d’un des plus grands entraineurs de l’histoire du football. Par ailleurs, les pages sont très longues donc je préfère faire des lectures brèves entre 15 et 30min tous les deux jours. </w:t>
      </w:r>
      <w:r w:rsidR="0074266B">
        <w:t xml:space="preserve">J’ai eu l’idée de faire mon </w:t>
      </w:r>
      <w:proofErr w:type="spellStart"/>
      <w:r w:rsidR="0074266B">
        <w:t>auto-biographie</w:t>
      </w:r>
      <w:proofErr w:type="spellEnd"/>
      <w:r w:rsidR="0074266B">
        <w:t xml:space="preserve"> avant la fin du projet en forme power point ou vidéo. Ceci va me permettre de maitriser le discours sur moi, me préparer pour les entretiens et en même temps parler de mon développement personnel.</w:t>
      </w:r>
      <w:bookmarkStart w:id="0" w:name="_GoBack"/>
      <w:bookmarkEnd w:id="0"/>
    </w:p>
    <w:p w:rsidR="00F1169F" w:rsidRDefault="00F1169F"/>
    <w:p w:rsidR="0095068E" w:rsidRDefault="0095068E"/>
    <w:p w:rsidR="006F378F" w:rsidRDefault="006F378F"/>
    <w:sectPr w:rsidR="006F378F" w:rsidSect="00CA1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B33D9"/>
    <w:multiLevelType w:val="hybridMultilevel"/>
    <w:tmpl w:val="AB044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C3C"/>
    <w:rsid w:val="00062D24"/>
    <w:rsid w:val="000A3610"/>
    <w:rsid w:val="00197008"/>
    <w:rsid w:val="001B59A6"/>
    <w:rsid w:val="001E0004"/>
    <w:rsid w:val="001E3370"/>
    <w:rsid w:val="003C780C"/>
    <w:rsid w:val="003E45CF"/>
    <w:rsid w:val="004436A0"/>
    <w:rsid w:val="00501E15"/>
    <w:rsid w:val="00555A2E"/>
    <w:rsid w:val="006673BF"/>
    <w:rsid w:val="006F378F"/>
    <w:rsid w:val="00700396"/>
    <w:rsid w:val="0074266B"/>
    <w:rsid w:val="00745A45"/>
    <w:rsid w:val="007C4386"/>
    <w:rsid w:val="00874B85"/>
    <w:rsid w:val="008A5612"/>
    <w:rsid w:val="0090723E"/>
    <w:rsid w:val="0095068E"/>
    <w:rsid w:val="009B61D3"/>
    <w:rsid w:val="00C47A09"/>
    <w:rsid w:val="00C64A2A"/>
    <w:rsid w:val="00CA1E9F"/>
    <w:rsid w:val="00D27E01"/>
    <w:rsid w:val="00DE23CA"/>
    <w:rsid w:val="00EC0A74"/>
    <w:rsid w:val="00F1169F"/>
    <w:rsid w:val="00F5228F"/>
    <w:rsid w:val="00F52C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2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6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C3C"/>
    <w:rPr>
      <w:rFonts w:asciiTheme="majorHAnsi" w:eastAsiaTheme="majorEastAsia" w:hAnsiTheme="majorHAnsi" w:cstheme="majorBidi"/>
      <w:b/>
      <w:bCs/>
      <w:color w:val="365F91" w:themeColor="accent1" w:themeShade="BF"/>
      <w:sz w:val="28"/>
      <w:szCs w:val="28"/>
      <w:lang w:eastAsia="fr-FR"/>
    </w:rPr>
  </w:style>
  <w:style w:type="table" w:styleId="TableGrid">
    <w:name w:val="Table Grid"/>
    <w:basedOn w:val="TableNormal"/>
    <w:uiPriority w:val="59"/>
    <w:rsid w:val="001E0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3370"/>
    <w:pPr>
      <w:ind w:left="720"/>
      <w:contextualSpacing/>
    </w:pPr>
  </w:style>
  <w:style w:type="character" w:customStyle="1" w:styleId="Heading2Char">
    <w:name w:val="Heading 2 Char"/>
    <w:basedOn w:val="DefaultParagraphFont"/>
    <w:link w:val="Heading2"/>
    <w:uiPriority w:val="9"/>
    <w:rsid w:val="009B61D3"/>
    <w:rPr>
      <w:rFonts w:asciiTheme="majorHAnsi" w:eastAsiaTheme="majorEastAsia" w:hAnsiTheme="majorHAnsi" w:cstheme="majorBidi"/>
      <w:b/>
      <w:bCs/>
      <w:color w:val="4F81BD" w:themeColor="accent1"/>
      <w:sz w:val="26"/>
      <w:szCs w:val="26"/>
      <w:lang w:eastAsia="fr-FR"/>
    </w:rPr>
  </w:style>
  <w:style w:type="character" w:styleId="Hyperlink">
    <w:name w:val="Hyperlink"/>
    <w:basedOn w:val="DefaultParagraphFont"/>
    <w:uiPriority w:val="99"/>
    <w:semiHidden/>
    <w:unhideWhenUsed/>
    <w:rsid w:val="00F1169F"/>
    <w:rPr>
      <w:color w:val="0000FF"/>
      <w:u w:val="single"/>
    </w:rPr>
  </w:style>
  <w:style w:type="paragraph" w:styleId="BalloonText">
    <w:name w:val="Balloon Text"/>
    <w:basedOn w:val="Normal"/>
    <w:link w:val="BalloonTextChar"/>
    <w:uiPriority w:val="99"/>
    <w:semiHidden/>
    <w:unhideWhenUsed/>
    <w:rsid w:val="003E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5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2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6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C3C"/>
    <w:rPr>
      <w:rFonts w:asciiTheme="majorHAnsi" w:eastAsiaTheme="majorEastAsia" w:hAnsiTheme="majorHAnsi" w:cstheme="majorBidi"/>
      <w:b/>
      <w:bCs/>
      <w:color w:val="365F91" w:themeColor="accent1" w:themeShade="BF"/>
      <w:sz w:val="28"/>
      <w:szCs w:val="28"/>
      <w:lang w:eastAsia="fr-FR"/>
    </w:rPr>
  </w:style>
  <w:style w:type="table" w:styleId="TableGrid">
    <w:name w:val="Table Grid"/>
    <w:basedOn w:val="TableNormal"/>
    <w:uiPriority w:val="59"/>
    <w:rsid w:val="001E0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3370"/>
    <w:pPr>
      <w:ind w:left="720"/>
      <w:contextualSpacing/>
    </w:pPr>
  </w:style>
  <w:style w:type="character" w:customStyle="1" w:styleId="Heading2Char">
    <w:name w:val="Heading 2 Char"/>
    <w:basedOn w:val="DefaultParagraphFont"/>
    <w:link w:val="Heading2"/>
    <w:uiPriority w:val="9"/>
    <w:rsid w:val="009B61D3"/>
    <w:rPr>
      <w:rFonts w:asciiTheme="majorHAnsi" w:eastAsiaTheme="majorEastAsia" w:hAnsiTheme="majorHAnsi" w:cstheme="majorBidi"/>
      <w:b/>
      <w:bCs/>
      <w:color w:val="4F81BD" w:themeColor="accent1"/>
      <w:sz w:val="26"/>
      <w:szCs w:val="26"/>
      <w:lang w:eastAsia="fr-FR"/>
    </w:rPr>
  </w:style>
  <w:style w:type="character" w:styleId="Hyperlink">
    <w:name w:val="Hyperlink"/>
    <w:basedOn w:val="DefaultParagraphFont"/>
    <w:uiPriority w:val="99"/>
    <w:semiHidden/>
    <w:unhideWhenUsed/>
    <w:rsid w:val="00F1169F"/>
    <w:rPr>
      <w:color w:val="0000FF"/>
      <w:u w:val="single"/>
    </w:rPr>
  </w:style>
  <w:style w:type="paragraph" w:styleId="BalloonText">
    <w:name w:val="Balloon Text"/>
    <w:basedOn w:val="Normal"/>
    <w:link w:val="BalloonTextChar"/>
    <w:uiPriority w:val="99"/>
    <w:semiHidden/>
    <w:unhideWhenUsed/>
    <w:rsid w:val="003E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5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2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725</Words>
  <Characters>3989</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Ismail</cp:lastModifiedBy>
  <cp:revision>3</cp:revision>
  <dcterms:created xsi:type="dcterms:W3CDTF">2013-12-09T20:18:00Z</dcterms:created>
  <dcterms:modified xsi:type="dcterms:W3CDTF">2013-12-14T11:46:00Z</dcterms:modified>
</cp:coreProperties>
</file>